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atLeast"/>
        <w:jc w:val="both"/>
        <w:rPr>
          <w:rFonts w:hint="eastAsia" w:ascii="黑体" w:hAnsi="黑体" w:eastAsia="黑体" w:cs="黑体"/>
          <w:b w:val="0"/>
          <w:bCs w:val="0"/>
          <w:color w:val="333333"/>
          <w:kern w:val="0"/>
          <w:sz w:val="32"/>
          <w:szCs w:val="32"/>
          <w:lang w:val="en-US" w:eastAsia="zh-CN"/>
        </w:rPr>
      </w:pPr>
      <w:r>
        <w:rPr>
          <w:rFonts w:hint="eastAsia" w:ascii="黑体" w:hAnsi="黑体" w:eastAsia="黑体" w:cs="黑体"/>
          <w:b w:val="0"/>
          <w:bCs w:val="0"/>
          <w:color w:val="333333"/>
          <w:kern w:val="0"/>
          <w:sz w:val="32"/>
          <w:szCs w:val="32"/>
          <w:lang w:eastAsia="zh-CN"/>
        </w:rPr>
        <w:t>附件</w:t>
      </w:r>
      <w:r>
        <w:rPr>
          <w:rFonts w:hint="eastAsia" w:ascii="黑体" w:hAnsi="黑体" w:eastAsia="黑体" w:cs="黑体"/>
          <w:b w:val="0"/>
          <w:bCs w:val="0"/>
          <w:color w:val="333333"/>
          <w:kern w:val="0"/>
          <w:sz w:val="32"/>
          <w:szCs w:val="32"/>
          <w:lang w:val="en-US" w:eastAsia="zh-CN"/>
        </w:rPr>
        <w:t>2-6</w:t>
      </w:r>
    </w:p>
    <w:p>
      <w:pPr>
        <w:widowControl/>
        <w:shd w:val="clear" w:color="auto" w:fill="FFFFFF"/>
        <w:spacing w:line="560" w:lineRule="atLeast"/>
        <w:jc w:val="center"/>
        <w:rPr>
          <w:rFonts w:hint="eastAsia" w:ascii="Times New Roman" w:hAnsi="Times New Roman" w:eastAsia="宋体" w:cs="Times New Roman"/>
          <w:color w:val="333333"/>
          <w:kern w:val="0"/>
          <w:sz w:val="32"/>
          <w:szCs w:val="32"/>
        </w:rPr>
      </w:pPr>
      <w:r>
        <w:rPr>
          <w:rFonts w:hint="eastAsia" w:ascii="方正小标宋简体" w:hAnsi="方正小标宋简体" w:eastAsia="方正小标宋简体" w:cs="Times New Roman"/>
          <w:color w:val="333333"/>
          <w:kern w:val="0"/>
          <w:sz w:val="36"/>
          <w:szCs w:val="36"/>
          <w:lang w:eastAsia="zh-CN"/>
        </w:rPr>
        <w:t>医疗保障信用评价指标</w:t>
      </w:r>
      <w:r>
        <w:rPr>
          <w:rFonts w:hint="eastAsia" w:ascii="方正小标宋简体" w:hAnsi="方正小标宋简体" w:eastAsia="方正小标宋简体" w:cs="Times New Roman"/>
          <w:color w:val="333333"/>
          <w:kern w:val="0"/>
          <w:sz w:val="36"/>
          <w:szCs w:val="36"/>
          <w:lang w:val="en-US" w:eastAsia="zh-CN"/>
        </w:rPr>
        <w:t>（</w:t>
      </w:r>
      <w:r>
        <w:rPr>
          <w:rFonts w:hint="eastAsia" w:ascii="方正小标宋简体" w:hAnsi="方正小标宋简体" w:eastAsia="方正小标宋简体" w:cs="Times New Roman"/>
          <w:color w:val="333333"/>
          <w:kern w:val="0"/>
          <w:sz w:val="36"/>
          <w:szCs w:val="36"/>
          <w:lang w:eastAsia="zh-CN"/>
        </w:rPr>
        <w:t>医保</w:t>
      </w:r>
      <w:r>
        <w:rPr>
          <w:rFonts w:hint="eastAsia" w:ascii="方正小标宋简体" w:hAnsi="方正小标宋简体" w:eastAsia="方正小标宋简体" w:cs="Times New Roman"/>
          <w:color w:val="333333"/>
          <w:kern w:val="0"/>
          <w:sz w:val="36"/>
          <w:szCs w:val="36"/>
        </w:rPr>
        <w:t>医技人员</w:t>
      </w:r>
      <w:r>
        <w:rPr>
          <w:rFonts w:hint="eastAsia" w:ascii="方正小标宋简体" w:hAnsi="方正小标宋简体" w:eastAsia="方正小标宋简体" w:cs="Times New Roman"/>
          <w:color w:val="333333"/>
          <w:kern w:val="0"/>
          <w:sz w:val="36"/>
          <w:szCs w:val="36"/>
          <w:lang w:val="en-US" w:eastAsia="zh-CN"/>
        </w:rPr>
        <w:t>）</w:t>
      </w:r>
      <w:bookmarkStart w:id="0" w:name="_GoBack"/>
      <w:bookmarkEnd w:id="0"/>
    </w:p>
    <w:tbl>
      <w:tblPr>
        <w:tblStyle w:val="2"/>
        <w:tblW w:w="4646" w:type="pct"/>
        <w:jc w:val="center"/>
        <w:tblLayout w:type="autofit"/>
        <w:tblCellMar>
          <w:top w:w="0" w:type="dxa"/>
          <w:left w:w="0" w:type="dxa"/>
          <w:bottom w:w="0" w:type="dxa"/>
          <w:right w:w="0" w:type="dxa"/>
        </w:tblCellMar>
      </w:tblPr>
      <w:tblGrid>
        <w:gridCol w:w="833"/>
        <w:gridCol w:w="1309"/>
        <w:gridCol w:w="1592"/>
        <w:gridCol w:w="4185"/>
      </w:tblGrid>
      <w:tr>
        <w:tblPrEx>
          <w:tblCellMar>
            <w:top w:w="0" w:type="dxa"/>
            <w:left w:w="0" w:type="dxa"/>
            <w:bottom w:w="0" w:type="dxa"/>
            <w:right w:w="0" w:type="dxa"/>
          </w:tblCellMar>
        </w:tblPrEx>
        <w:trPr>
          <w:trHeight w:val="624" w:hRule="atLeast"/>
          <w:jc w:val="center"/>
        </w:trPr>
        <w:tc>
          <w:tcPr>
            <w:tcW w:w="526" w:type="pct"/>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黑体" w:hAnsi="黑体" w:eastAsia="黑体" w:cs="Times New Roman"/>
                <w:color w:val="2E2E2E"/>
                <w:kern w:val="0"/>
                <w:szCs w:val="21"/>
              </w:rPr>
              <w:t>一级指标</w:t>
            </w:r>
          </w:p>
        </w:tc>
        <w:tc>
          <w:tcPr>
            <w:tcW w:w="826" w:type="pc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黑体" w:hAnsi="黑体" w:eastAsia="黑体" w:cs="Times New Roman"/>
                <w:color w:val="2E2E2E"/>
                <w:kern w:val="0"/>
                <w:szCs w:val="21"/>
              </w:rPr>
              <w:t>二级指标</w:t>
            </w:r>
          </w:p>
        </w:tc>
        <w:tc>
          <w:tcPr>
            <w:tcW w:w="1005" w:type="pc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黑体" w:hAnsi="黑体" w:eastAsia="黑体" w:cs="Times New Roman"/>
                <w:color w:val="2E2E2E"/>
                <w:kern w:val="0"/>
                <w:szCs w:val="21"/>
              </w:rPr>
              <w:t>三级指标</w:t>
            </w:r>
          </w:p>
        </w:tc>
        <w:tc>
          <w:tcPr>
            <w:tcW w:w="2642" w:type="pc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黑体" w:hAnsi="黑体" w:eastAsia="黑体" w:cs="Times New Roman"/>
                <w:color w:val="2E2E2E"/>
                <w:kern w:val="0"/>
                <w:szCs w:val="21"/>
              </w:rPr>
              <w:t>指标释义</w:t>
            </w:r>
          </w:p>
        </w:tc>
      </w:tr>
      <w:tr>
        <w:tblPrEx>
          <w:tblCellMar>
            <w:top w:w="0" w:type="dxa"/>
            <w:left w:w="0" w:type="dxa"/>
            <w:bottom w:w="0" w:type="dxa"/>
            <w:right w:w="0" w:type="dxa"/>
          </w:tblCellMar>
        </w:tblPrEx>
        <w:trPr>
          <w:trHeight w:val="729" w:hRule="atLeast"/>
          <w:jc w:val="center"/>
        </w:trPr>
        <w:tc>
          <w:tcPr>
            <w:tcW w:w="526" w:type="pct"/>
            <w:vMerge w:val="restart"/>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协议管理</w:t>
            </w:r>
          </w:p>
        </w:tc>
        <w:tc>
          <w:tcPr>
            <w:tcW w:w="826" w:type="pct"/>
            <w:vMerge w:val="restar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备案管理</w:t>
            </w:r>
          </w:p>
        </w:tc>
        <w:tc>
          <w:tcPr>
            <w:tcW w:w="1005"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执业资质</w:t>
            </w:r>
          </w:p>
        </w:tc>
        <w:tc>
          <w:tcPr>
            <w:tcW w:w="2642"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取得执业资格。</w:t>
            </w:r>
          </w:p>
        </w:tc>
      </w:tr>
      <w:tr>
        <w:tblPrEx>
          <w:tblCellMar>
            <w:top w:w="0" w:type="dxa"/>
            <w:left w:w="0" w:type="dxa"/>
            <w:bottom w:w="0" w:type="dxa"/>
            <w:right w:w="0" w:type="dxa"/>
          </w:tblCellMar>
        </w:tblPrEx>
        <w:trPr>
          <w:trHeight w:val="879" w:hRule="atLeast"/>
          <w:jc w:val="center"/>
        </w:trPr>
        <w:tc>
          <w:tcPr>
            <w:tcW w:w="526" w:type="pct"/>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eastAsia="宋体" w:cs="Times New Roman"/>
                <w:color w:val="2E2E2E"/>
                <w:kern w:val="0"/>
                <w:sz w:val="32"/>
                <w:szCs w:val="32"/>
              </w:rPr>
            </w:pPr>
          </w:p>
        </w:tc>
        <w:tc>
          <w:tcPr>
            <w:tcW w:w="826" w:type="pct"/>
            <w:vMerge w:val="continue"/>
            <w:tcBorders>
              <w:top w:val="nil"/>
              <w:left w:val="nil"/>
              <w:bottom w:val="single" w:color="000000" w:sz="8" w:space="0"/>
              <w:right w:val="single" w:color="000000" w:sz="8" w:space="0"/>
            </w:tcBorders>
            <w:vAlign w:val="center"/>
          </w:tcPr>
          <w:p>
            <w:pPr>
              <w:widowControl/>
              <w:jc w:val="left"/>
              <w:rPr>
                <w:rFonts w:ascii="Times New Roman" w:hAnsi="Times New Roman" w:eastAsia="宋体" w:cs="Times New Roman"/>
                <w:color w:val="2E2E2E"/>
                <w:kern w:val="0"/>
                <w:sz w:val="32"/>
                <w:szCs w:val="32"/>
              </w:rPr>
            </w:pPr>
          </w:p>
        </w:tc>
        <w:tc>
          <w:tcPr>
            <w:tcW w:w="1005"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执业范围</w:t>
            </w:r>
          </w:p>
        </w:tc>
        <w:tc>
          <w:tcPr>
            <w:tcW w:w="2642"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在执业资格规定且可提供医保服务的执业地点和执业范围，提供服务。</w:t>
            </w:r>
          </w:p>
        </w:tc>
      </w:tr>
      <w:tr>
        <w:tblPrEx>
          <w:tblCellMar>
            <w:top w:w="0" w:type="dxa"/>
            <w:left w:w="0" w:type="dxa"/>
            <w:bottom w:w="0" w:type="dxa"/>
            <w:right w:w="0" w:type="dxa"/>
          </w:tblCellMar>
        </w:tblPrEx>
        <w:trPr>
          <w:trHeight w:val="1029" w:hRule="atLeast"/>
          <w:jc w:val="center"/>
        </w:trPr>
        <w:tc>
          <w:tcPr>
            <w:tcW w:w="526" w:type="pct"/>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eastAsia="宋体" w:cs="Times New Roman"/>
                <w:color w:val="2E2E2E"/>
                <w:kern w:val="0"/>
                <w:sz w:val="32"/>
                <w:szCs w:val="32"/>
              </w:rPr>
            </w:pPr>
          </w:p>
        </w:tc>
        <w:tc>
          <w:tcPr>
            <w:tcW w:w="826" w:type="pct"/>
            <w:vMerge w:val="continue"/>
            <w:tcBorders>
              <w:top w:val="nil"/>
              <w:left w:val="nil"/>
              <w:bottom w:val="single" w:color="000000" w:sz="8" w:space="0"/>
              <w:right w:val="single" w:color="000000" w:sz="8" w:space="0"/>
            </w:tcBorders>
            <w:vAlign w:val="center"/>
          </w:tcPr>
          <w:p>
            <w:pPr>
              <w:widowControl/>
              <w:jc w:val="left"/>
              <w:rPr>
                <w:rFonts w:ascii="Times New Roman" w:hAnsi="Times New Roman" w:eastAsia="宋体" w:cs="Times New Roman"/>
                <w:color w:val="2E2E2E"/>
                <w:kern w:val="0"/>
                <w:sz w:val="32"/>
                <w:szCs w:val="32"/>
              </w:rPr>
            </w:pPr>
          </w:p>
        </w:tc>
        <w:tc>
          <w:tcPr>
            <w:tcW w:w="1005"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配合检查</w:t>
            </w:r>
          </w:p>
        </w:tc>
        <w:tc>
          <w:tcPr>
            <w:tcW w:w="2642"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能自觉遵守基本医疗保险制度和政策规定，接受监督检查。</w:t>
            </w:r>
          </w:p>
        </w:tc>
      </w:tr>
      <w:tr>
        <w:tblPrEx>
          <w:tblCellMar>
            <w:top w:w="0" w:type="dxa"/>
            <w:left w:w="0" w:type="dxa"/>
            <w:bottom w:w="0" w:type="dxa"/>
            <w:right w:w="0" w:type="dxa"/>
          </w:tblCellMar>
        </w:tblPrEx>
        <w:trPr>
          <w:trHeight w:val="1014" w:hRule="atLeast"/>
          <w:jc w:val="center"/>
        </w:trPr>
        <w:tc>
          <w:tcPr>
            <w:tcW w:w="526" w:type="pct"/>
            <w:vMerge w:val="restart"/>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违法违规</w:t>
            </w:r>
          </w:p>
        </w:tc>
        <w:tc>
          <w:tcPr>
            <w:tcW w:w="826" w:type="pct"/>
            <w:vMerge w:val="restar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资格处理</w:t>
            </w:r>
          </w:p>
        </w:tc>
        <w:tc>
          <w:tcPr>
            <w:tcW w:w="1005"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医疗文书</w:t>
            </w:r>
          </w:p>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造假</w:t>
            </w:r>
          </w:p>
        </w:tc>
        <w:tc>
          <w:tcPr>
            <w:tcW w:w="2642"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提供虚假的检查（化验）报告单或虚构病历等医疗文书或证明材料的。</w:t>
            </w:r>
          </w:p>
        </w:tc>
      </w:tr>
      <w:tr>
        <w:tblPrEx>
          <w:tblCellMar>
            <w:top w:w="0" w:type="dxa"/>
            <w:left w:w="0" w:type="dxa"/>
            <w:bottom w:w="0" w:type="dxa"/>
            <w:right w:w="0" w:type="dxa"/>
          </w:tblCellMar>
        </w:tblPrEx>
        <w:trPr>
          <w:trHeight w:val="1161" w:hRule="atLeast"/>
          <w:jc w:val="center"/>
        </w:trPr>
        <w:tc>
          <w:tcPr>
            <w:tcW w:w="526" w:type="pct"/>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eastAsia="宋体" w:cs="Times New Roman"/>
                <w:color w:val="2E2E2E"/>
                <w:kern w:val="0"/>
                <w:sz w:val="32"/>
                <w:szCs w:val="32"/>
              </w:rPr>
            </w:pPr>
          </w:p>
        </w:tc>
        <w:tc>
          <w:tcPr>
            <w:tcW w:w="826" w:type="pct"/>
            <w:vMerge w:val="continue"/>
            <w:tcBorders>
              <w:top w:val="nil"/>
              <w:left w:val="nil"/>
              <w:bottom w:val="single" w:color="000000" w:sz="8" w:space="0"/>
              <w:right w:val="single" w:color="000000" w:sz="8" w:space="0"/>
            </w:tcBorders>
            <w:vAlign w:val="center"/>
          </w:tcPr>
          <w:p>
            <w:pPr>
              <w:widowControl/>
              <w:jc w:val="left"/>
              <w:rPr>
                <w:rFonts w:ascii="Times New Roman" w:hAnsi="Times New Roman" w:eastAsia="宋体" w:cs="Times New Roman"/>
                <w:color w:val="2E2E2E"/>
                <w:kern w:val="0"/>
                <w:sz w:val="32"/>
                <w:szCs w:val="32"/>
              </w:rPr>
            </w:pPr>
          </w:p>
        </w:tc>
        <w:tc>
          <w:tcPr>
            <w:tcW w:w="1005"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超范围服务</w:t>
            </w:r>
          </w:p>
        </w:tc>
        <w:tc>
          <w:tcPr>
            <w:tcW w:w="2642"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出具与自己执业范围无关或者与执业类别不相符的医学证明文件或超出执业范围进行临床医疗服务的。</w:t>
            </w:r>
          </w:p>
        </w:tc>
      </w:tr>
      <w:tr>
        <w:tblPrEx>
          <w:tblCellMar>
            <w:top w:w="0" w:type="dxa"/>
            <w:left w:w="0" w:type="dxa"/>
            <w:bottom w:w="0" w:type="dxa"/>
            <w:right w:w="0" w:type="dxa"/>
          </w:tblCellMar>
        </w:tblPrEx>
        <w:trPr>
          <w:trHeight w:val="954" w:hRule="atLeast"/>
          <w:jc w:val="center"/>
        </w:trPr>
        <w:tc>
          <w:tcPr>
            <w:tcW w:w="526" w:type="pct"/>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eastAsia="宋体" w:cs="Times New Roman"/>
                <w:color w:val="2E2E2E"/>
                <w:kern w:val="0"/>
                <w:sz w:val="32"/>
                <w:szCs w:val="32"/>
              </w:rPr>
            </w:pPr>
          </w:p>
        </w:tc>
        <w:tc>
          <w:tcPr>
            <w:tcW w:w="826" w:type="pct"/>
            <w:vMerge w:val="continue"/>
            <w:tcBorders>
              <w:top w:val="nil"/>
              <w:left w:val="nil"/>
              <w:bottom w:val="single" w:color="000000" w:sz="8" w:space="0"/>
              <w:right w:val="single" w:color="000000" w:sz="8" w:space="0"/>
            </w:tcBorders>
            <w:vAlign w:val="center"/>
          </w:tcPr>
          <w:p>
            <w:pPr>
              <w:widowControl/>
              <w:jc w:val="left"/>
              <w:rPr>
                <w:rFonts w:ascii="Times New Roman" w:hAnsi="Times New Roman" w:eastAsia="宋体" w:cs="Times New Roman"/>
                <w:color w:val="2E2E2E"/>
                <w:kern w:val="0"/>
                <w:sz w:val="32"/>
                <w:szCs w:val="32"/>
              </w:rPr>
            </w:pPr>
          </w:p>
        </w:tc>
        <w:tc>
          <w:tcPr>
            <w:tcW w:w="1005"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转借证书</w:t>
            </w:r>
          </w:p>
        </w:tc>
        <w:tc>
          <w:tcPr>
            <w:tcW w:w="2642"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将执业证书、职称证书转借、转租给其他医疗机构。</w:t>
            </w:r>
          </w:p>
        </w:tc>
      </w:tr>
      <w:tr>
        <w:tblPrEx>
          <w:tblCellMar>
            <w:top w:w="0" w:type="dxa"/>
            <w:left w:w="0" w:type="dxa"/>
            <w:bottom w:w="0" w:type="dxa"/>
            <w:right w:w="0" w:type="dxa"/>
          </w:tblCellMar>
        </w:tblPrEx>
        <w:trPr>
          <w:trHeight w:val="1014" w:hRule="atLeast"/>
          <w:jc w:val="center"/>
        </w:trPr>
        <w:tc>
          <w:tcPr>
            <w:tcW w:w="526" w:type="pct"/>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eastAsia="宋体" w:cs="Times New Roman"/>
                <w:color w:val="2E2E2E"/>
                <w:kern w:val="0"/>
                <w:sz w:val="32"/>
                <w:szCs w:val="32"/>
              </w:rPr>
            </w:pPr>
          </w:p>
        </w:tc>
        <w:tc>
          <w:tcPr>
            <w:tcW w:w="826" w:type="pct"/>
            <w:vMerge w:val="restar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违规处理</w:t>
            </w:r>
          </w:p>
        </w:tc>
        <w:tc>
          <w:tcPr>
            <w:tcW w:w="1005"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知情未告知</w:t>
            </w:r>
          </w:p>
        </w:tc>
        <w:tc>
          <w:tcPr>
            <w:tcW w:w="2642"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未按规定执行告知签字制度的。</w:t>
            </w:r>
          </w:p>
        </w:tc>
      </w:tr>
      <w:tr>
        <w:tblPrEx>
          <w:tblCellMar>
            <w:top w:w="0" w:type="dxa"/>
            <w:left w:w="0" w:type="dxa"/>
            <w:bottom w:w="0" w:type="dxa"/>
            <w:right w:w="0" w:type="dxa"/>
          </w:tblCellMar>
        </w:tblPrEx>
        <w:trPr>
          <w:trHeight w:val="1089" w:hRule="atLeast"/>
          <w:jc w:val="center"/>
        </w:trPr>
        <w:tc>
          <w:tcPr>
            <w:tcW w:w="526" w:type="pct"/>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eastAsia="宋体" w:cs="Times New Roman"/>
                <w:color w:val="2E2E2E"/>
                <w:kern w:val="0"/>
                <w:sz w:val="32"/>
                <w:szCs w:val="32"/>
              </w:rPr>
            </w:pPr>
          </w:p>
        </w:tc>
        <w:tc>
          <w:tcPr>
            <w:tcW w:w="826" w:type="pct"/>
            <w:vMerge w:val="continue"/>
            <w:tcBorders>
              <w:top w:val="nil"/>
              <w:left w:val="nil"/>
              <w:bottom w:val="single" w:color="000000" w:sz="8" w:space="0"/>
              <w:right w:val="single" w:color="000000" w:sz="8" w:space="0"/>
            </w:tcBorders>
            <w:vAlign w:val="center"/>
          </w:tcPr>
          <w:p>
            <w:pPr>
              <w:widowControl/>
              <w:jc w:val="left"/>
              <w:rPr>
                <w:rFonts w:ascii="Times New Roman" w:hAnsi="Times New Roman" w:eastAsia="宋体" w:cs="Times New Roman"/>
                <w:color w:val="2E2E2E"/>
                <w:kern w:val="0"/>
                <w:sz w:val="32"/>
                <w:szCs w:val="32"/>
              </w:rPr>
            </w:pPr>
          </w:p>
        </w:tc>
        <w:tc>
          <w:tcPr>
            <w:tcW w:w="1005"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患者投诉</w:t>
            </w:r>
          </w:p>
        </w:tc>
        <w:tc>
          <w:tcPr>
            <w:tcW w:w="2642"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对医保政策解释不准确或服务态度恶劣，导致参保人员有效投诉的。</w:t>
            </w:r>
          </w:p>
        </w:tc>
      </w:tr>
      <w:tr>
        <w:tblPrEx>
          <w:tblCellMar>
            <w:top w:w="0" w:type="dxa"/>
            <w:left w:w="0" w:type="dxa"/>
            <w:bottom w:w="0" w:type="dxa"/>
            <w:right w:w="0" w:type="dxa"/>
          </w:tblCellMar>
        </w:tblPrEx>
        <w:trPr>
          <w:trHeight w:val="1179" w:hRule="atLeast"/>
          <w:jc w:val="center"/>
        </w:trPr>
        <w:tc>
          <w:tcPr>
            <w:tcW w:w="526" w:type="pct"/>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行为合规</w:t>
            </w:r>
          </w:p>
        </w:tc>
        <w:tc>
          <w:tcPr>
            <w:tcW w:w="826"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不良执业行为</w:t>
            </w:r>
          </w:p>
        </w:tc>
        <w:tc>
          <w:tcPr>
            <w:tcW w:w="1005"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不良执业</w:t>
            </w:r>
          </w:p>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行为</w:t>
            </w:r>
          </w:p>
        </w:tc>
        <w:tc>
          <w:tcPr>
            <w:tcW w:w="2642"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《四川省医务人员不良执业行为记分管理办法》涉及的非医保不良执业行为。</w:t>
            </w:r>
          </w:p>
        </w:tc>
      </w:tr>
      <w:tr>
        <w:tblPrEx>
          <w:tblCellMar>
            <w:top w:w="0" w:type="dxa"/>
            <w:left w:w="0" w:type="dxa"/>
            <w:bottom w:w="0" w:type="dxa"/>
            <w:right w:w="0" w:type="dxa"/>
          </w:tblCellMar>
        </w:tblPrEx>
        <w:trPr>
          <w:trHeight w:val="1089" w:hRule="atLeast"/>
          <w:jc w:val="center"/>
        </w:trPr>
        <w:tc>
          <w:tcPr>
            <w:tcW w:w="526" w:type="pct"/>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社会信用</w:t>
            </w:r>
          </w:p>
        </w:tc>
        <w:tc>
          <w:tcPr>
            <w:tcW w:w="826"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行政处罚</w:t>
            </w:r>
          </w:p>
        </w:tc>
        <w:tc>
          <w:tcPr>
            <w:tcW w:w="1005"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行政处罚</w:t>
            </w:r>
          </w:p>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内容</w:t>
            </w:r>
          </w:p>
        </w:tc>
        <w:tc>
          <w:tcPr>
            <w:tcW w:w="2642"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被医保、卫生行政部门行政处罚的。</w:t>
            </w:r>
          </w:p>
        </w:tc>
      </w:tr>
      <w:tr>
        <w:tblPrEx>
          <w:tblCellMar>
            <w:top w:w="0" w:type="dxa"/>
            <w:left w:w="0" w:type="dxa"/>
            <w:bottom w:w="0" w:type="dxa"/>
            <w:right w:w="0" w:type="dxa"/>
          </w:tblCellMar>
        </w:tblPrEx>
        <w:trPr>
          <w:trHeight w:val="1289" w:hRule="atLeast"/>
          <w:jc w:val="center"/>
        </w:trPr>
        <w:tc>
          <w:tcPr>
            <w:tcW w:w="526" w:type="pct"/>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违法违规</w:t>
            </w:r>
          </w:p>
        </w:tc>
        <w:tc>
          <w:tcPr>
            <w:tcW w:w="826"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违规处理</w:t>
            </w:r>
          </w:p>
        </w:tc>
        <w:tc>
          <w:tcPr>
            <w:tcW w:w="1005"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center"/>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协助套保</w:t>
            </w:r>
          </w:p>
        </w:tc>
        <w:tc>
          <w:tcPr>
            <w:tcW w:w="2642" w:type="pct"/>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textAlignment w:val="center"/>
              <w:rPr>
                <w:rFonts w:ascii="Times New Roman" w:hAnsi="Times New Roman" w:eastAsia="宋体" w:cs="Times New Roman"/>
                <w:color w:val="2E2E2E"/>
                <w:kern w:val="0"/>
                <w:sz w:val="32"/>
                <w:szCs w:val="32"/>
              </w:rPr>
            </w:pPr>
            <w:r>
              <w:rPr>
                <w:rFonts w:hint="eastAsia" w:ascii="仿宋" w:hAnsi="仿宋" w:eastAsia="仿宋" w:cs="Times New Roman"/>
                <w:color w:val="2E2E2E"/>
                <w:kern w:val="0"/>
                <w:szCs w:val="21"/>
              </w:rPr>
              <w:t>协助将非医疗保险基金支付范围的医疗费用纳入医疗保险基金支付的。</w:t>
            </w:r>
          </w:p>
        </w:tc>
      </w:tr>
    </w:tbl>
    <w:p>
      <w:pPr>
        <w:widowControl/>
        <w:shd w:val="clear" w:color="auto" w:fill="FFFFFF"/>
        <w:rPr>
          <w:rFonts w:hint="eastAsia" w:ascii="宋体" w:hAnsi="宋体" w:eastAsia="宋体" w:cs="宋体"/>
          <w:color w:val="333333"/>
          <w:kern w:val="0"/>
          <w:szCs w:val="21"/>
          <w:lang w:eastAsia="zh-CN"/>
        </w:rPr>
      </w:pPr>
    </w:p>
    <w:p>
      <w:pPr>
        <w:widowControl/>
        <w:shd w:val="clear" w:color="auto" w:fill="FFFFFF"/>
        <w:rPr>
          <w:rFonts w:hint="eastAsia" w:ascii="宋体" w:hAnsi="宋体" w:eastAsia="宋体" w:cs="宋体"/>
          <w:color w:val="333333"/>
          <w:kern w:val="0"/>
          <w:szCs w:val="21"/>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wYmY2MTNlZjkwNjllM2Y5M2M4YzBiNWVmOWMyYTMifQ=="/>
  </w:docVars>
  <w:rsids>
    <w:rsidRoot w:val="00000000"/>
    <w:rsid w:val="090F2A2E"/>
    <w:rsid w:val="450405B3"/>
    <w:rsid w:val="4D4E4549"/>
    <w:rsid w:val="5CA57C89"/>
    <w:rsid w:val="60503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414</Words>
  <Characters>417</Characters>
  <Lines>0</Lines>
  <Paragraphs>0</Paragraphs>
  <TotalTime>3</TotalTime>
  <ScaleCrop>false</ScaleCrop>
  <LinksUpToDate>false</LinksUpToDate>
  <CharactersWithSpaces>417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2023-09-14T07:51:00Z</dcterms:created>
  <dc:creator>Administrator</dc:creator>
  <cp:lastModifiedBy>陈祥平</cp:lastModifiedBy>
  <cp:lastPrinted>2023-11-22T04:01:00Z</cp:lastPrinted>
  <dcterms:modified xsi:type="dcterms:W3CDTF">2023-11-23T04:07:15Z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ED5BCCA9571F4FA5BAED883D196AF70B_12</vt:lpwstr>
  </property>
</Properties>
</file>